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pPr>
      <w:r>
        <w:rPr>
          <w:rFonts w:ascii="Arial" w:hAnsi="Arial"/>
          <w:b/>
          <w:color w:val="244854"/>
          <w:sz w:val="24"/>
        </w:rPr>
        <w:t>BD-ALLROUND</w:t>
      </w:r>
    </w:p>
    <w:p>
      <w:pPr>
        <w:pStyle w:val="Title"/>
      </w:pPr>
      <w:r>
        <w:t>Privacy- &amp; Cookiestatement</w:t>
      </w:r>
    </w:p>
    <w:p>
      <w:pPr>
        <w:spacing w:after="360"/>
        <w:pBdr>
          <w:bottom w:val="single" w:sz="18" w:space="1" w:color="244854"/>
        </w:pBdr>
      </w:pPr>
      <w:r>
        <w:rPr>
          <w:rFonts w:ascii="Arial" w:hAnsi="Arial"/>
          <w:color w:val="5E5E5E"/>
          <w:sz w:val="24"/>
        </w:rPr>
        <w:t>Hoe BD-Allround persoonsgegevens en cookies verwerkt</w:t>
      </w:r>
    </w:p>
    <w:tbl>
      <w:tblPr>
        <w:tblW w:type="auto" w:w="0"/>
        <w:jc w:val="left"/>
        <w:tblLayout w:type="fixed"/>
        <w:tblLook w:firstColumn="1" w:firstRow="1" w:lastColumn="0" w:lastRow="0" w:noHBand="0" w:noVBand="1" w:val="04A0"/>
      </w:tblPr>
      <w:tblGrid>
        <w:gridCol w:w="2381"/>
        <w:gridCol w:w="6236"/>
      </w:tblGrid>
      <w:tr>
        <w:tc>
          <w:tcPr>
            <w:tcW w:type="dxa" w:w="5100"/>
            <w:tcMar>
              <w:top w:w="90" w:type="dxa"/>
              <w:start w:w="110" w:type="dxa"/>
              <w:bottom w:w="90" w:type="dxa"/>
              <w:end w:w="110" w:type="dxa"/>
            </w:tcMar>
          </w:tcPr>
          <w:p>
            <w:r>
              <w:rPr>
                <w:b/>
                <w:color w:val="244854"/>
              </w:rPr>
              <w:t>Bedrijf</w:t>
            </w:r>
          </w:p>
        </w:tc>
        <w:tc>
          <w:tcPr>
            <w:tcW w:type="dxa" w:w="5100"/>
            <w:tcMar>
              <w:top w:w="90" w:type="dxa"/>
              <w:start w:w="110" w:type="dxa"/>
              <w:bottom w:w="90" w:type="dxa"/>
              <w:end w:w="110" w:type="dxa"/>
            </w:tcMar>
          </w:tcPr>
          <w:p>
            <w:r>
              <w:t>BD-Allround</w:t>
            </w:r>
          </w:p>
        </w:tc>
      </w:tr>
      <w:tr>
        <w:tc>
          <w:tcPr>
            <w:tcW w:type="dxa" w:w="5100"/>
            <w:tcMar>
              <w:top w:w="90" w:type="dxa"/>
              <w:start w:w="110" w:type="dxa"/>
              <w:bottom w:w="90" w:type="dxa"/>
              <w:end w:w="110" w:type="dxa"/>
            </w:tcMar>
          </w:tcPr>
          <w:p>
            <w:r>
              <w:rPr>
                <w:b/>
                <w:color w:val="244854"/>
              </w:rPr>
              <w:t>Vestigingsplaats</w:t>
            </w:r>
          </w:p>
        </w:tc>
        <w:tc>
          <w:tcPr>
            <w:tcW w:type="dxa" w:w="5100"/>
            <w:tcMar>
              <w:top w:w="90" w:type="dxa"/>
              <w:start w:w="110" w:type="dxa"/>
              <w:bottom w:w="90" w:type="dxa"/>
              <w:end w:w="110" w:type="dxa"/>
            </w:tcMar>
          </w:tcPr>
          <w:p>
            <w:r>
              <w:t>Soest, Utrecht, Nederland</w:t>
            </w:r>
          </w:p>
        </w:tc>
      </w:tr>
      <w:tr>
        <w:tc>
          <w:tcPr>
            <w:tcW w:type="dxa" w:w="5100"/>
            <w:tcMar>
              <w:top w:w="90" w:type="dxa"/>
              <w:start w:w="110" w:type="dxa"/>
              <w:bottom w:w="90" w:type="dxa"/>
              <w:end w:w="110" w:type="dxa"/>
            </w:tcMar>
          </w:tcPr>
          <w:p>
            <w:r>
              <w:rPr>
                <w:b/>
                <w:color w:val="244854"/>
              </w:rPr>
              <w:t>Website</w:t>
            </w:r>
          </w:p>
        </w:tc>
        <w:tc>
          <w:tcPr>
            <w:tcW w:type="dxa" w:w="5100"/>
            <w:tcMar>
              <w:top w:w="90" w:type="dxa"/>
              <w:start w:w="110" w:type="dxa"/>
              <w:bottom w:w="90" w:type="dxa"/>
              <w:end w:w="110" w:type="dxa"/>
            </w:tcMar>
          </w:tcPr>
          <w:p>
            <w:r>
              <w:t>www.bd-allround.nl</w:t>
            </w:r>
          </w:p>
        </w:tc>
      </w:tr>
      <w:tr>
        <w:tc>
          <w:tcPr>
            <w:tcW w:type="dxa" w:w="5100"/>
            <w:tcMar>
              <w:top w:w="90" w:type="dxa"/>
              <w:start w:w="110" w:type="dxa"/>
              <w:bottom w:w="90" w:type="dxa"/>
              <w:end w:w="110" w:type="dxa"/>
            </w:tcMar>
          </w:tcPr>
          <w:p>
            <w:r>
              <w:rPr>
                <w:b/>
                <w:color w:val="244854"/>
              </w:rPr>
              <w:t>Contact</w:t>
            </w:r>
          </w:p>
        </w:tc>
        <w:tc>
          <w:tcPr>
            <w:tcW w:type="dxa" w:w="5100"/>
            <w:tcMar>
              <w:top w:w="90" w:type="dxa"/>
              <w:start w:w="110" w:type="dxa"/>
              <w:bottom w:w="90" w:type="dxa"/>
              <w:end w:w="110" w:type="dxa"/>
            </w:tcMar>
          </w:tcPr>
          <w:p>
            <w:r>
              <w:t>info@bd-allround.nl  |  +31 6 48936802</w:t>
            </w:r>
          </w:p>
        </w:tc>
      </w:tr>
      <w:tr>
        <w:tc>
          <w:tcPr>
            <w:tcW w:type="dxa" w:w="5100"/>
            <w:tcMar>
              <w:top w:w="90" w:type="dxa"/>
              <w:start w:w="110" w:type="dxa"/>
              <w:bottom w:w="90" w:type="dxa"/>
              <w:end w:w="110" w:type="dxa"/>
            </w:tcMar>
          </w:tcPr>
          <w:p>
            <w:r>
              <w:rPr>
                <w:b/>
                <w:color w:val="244854"/>
              </w:rPr>
              <w:t>Versie</w:t>
            </w:r>
          </w:p>
        </w:tc>
        <w:tc>
          <w:tcPr>
            <w:tcW w:type="dxa" w:w="5100"/>
            <w:tcMar>
              <w:top w:w="90" w:type="dxa"/>
              <w:start w:w="110" w:type="dxa"/>
              <w:bottom w:w="90" w:type="dxa"/>
              <w:end w:w="110" w:type="dxa"/>
            </w:tcMar>
          </w:tcPr>
          <w:p>
            <w:r>
              <w:t>7 oktober 2026</w:t>
            </w:r>
          </w:p>
        </w:tc>
      </w:tr>
    </w:tbl>
    <w:p>
      <w:pPr>
        <w:pStyle w:val="SmallNote"/>
      </w:pPr>
      <w:r>
        <w:t>Dit document is opgesteld voor de werkzaamheden en dienstverlening van BD-Allround op het gebied van sanitair, badkamer- en toiletrenovatie, installatie, service, onderhoud en advies.</w:t>
      </w:r>
    </w:p>
    <w:p>
      <w:r>
        <w:br w:type="page"/>
      </w:r>
    </w:p>
    <w:p>
      <w:pPr/>
      <w:r>
        <w:t>BD-Allround hecht belang aan een zorgvuldige omgang met persoonsgegevens. In dit statement staat welke gegevens BD-Allround verwerkt, voor welke doeleinden, op welke grondslag, met wie gegevens kunnen worden gedeeld en welke privacyrechten betrokkenen hebben.</w:t>
      </w:r>
    </w:p>
    <w:p>
      <w:pPr>
        <w:pStyle w:val="Heading1"/>
        <w:pBdr>
          <w:bottom w:val="single" w:sz="6" w:space="1" w:color="D7E0E2"/>
        </w:pBdr>
      </w:pPr>
      <w:r>
        <w:t>1. Verwerkingsverantwoordelijke</w:t>
      </w:r>
    </w:p>
    <w:p>
      <w:pPr/>
      <w:r>
        <w:t>BD-Allround is verwerkingsverantwoordelijke voor de persoonsgegevens die in het kader van haar website, offertes, projecten, service, onderhoud en klantcontact worden verwerkt.</w:t>
      </w:r>
    </w:p>
    <w:p>
      <w:pPr>
        <w:pStyle w:val="LegalBullet"/>
      </w:pPr>
      <w:r>
        <w:rPr>
          <w:color w:val="244854"/>
        </w:rPr>
        <w:t xml:space="preserve">• </w:t>
      </w:r>
      <w:r>
        <w:t>Vestigingsplaats: Soest, Utrecht, Nederland</w:t>
      </w:r>
    </w:p>
    <w:p>
      <w:pPr>
        <w:pStyle w:val="LegalBullet"/>
      </w:pPr>
      <w:r>
        <w:rPr>
          <w:color w:val="244854"/>
        </w:rPr>
        <w:t xml:space="preserve">• </w:t>
      </w:r>
      <w:r>
        <w:t>Website: www.bd-allround.nl</w:t>
      </w:r>
    </w:p>
    <w:p>
      <w:pPr>
        <w:pStyle w:val="LegalBullet"/>
      </w:pPr>
      <w:r>
        <w:rPr>
          <w:color w:val="244854"/>
        </w:rPr>
        <w:t xml:space="preserve">• </w:t>
      </w:r>
      <w:r>
        <w:t>E-mail: info@bd-allround.nl</w:t>
      </w:r>
    </w:p>
    <w:p>
      <w:pPr>
        <w:pStyle w:val="LegalBullet"/>
      </w:pPr>
      <w:r>
        <w:rPr>
          <w:color w:val="244854"/>
        </w:rPr>
        <w:t xml:space="preserve">• </w:t>
      </w:r>
      <w:r>
        <w:t>Telefoon: +31 6 48936802</w:t>
      </w:r>
    </w:p>
    <w:p>
      <w:pPr/>
      <w:r>
        <w:t>Vragen over privacy of verzoeken met betrekking tot persoonsgegevens kunnen via bovenstaande contactgegevens worden ingediend.</w:t>
      </w:r>
    </w:p>
    <w:p>
      <w:pPr>
        <w:pStyle w:val="Heading1"/>
        <w:pBdr>
          <w:bottom w:val="single" w:sz="6" w:space="1" w:color="D7E0E2"/>
        </w:pBdr>
      </w:pPr>
      <w:r>
        <w:t>2. Welke persoonsgegevens verwerkt BD-Allround?</w:t>
      </w:r>
    </w:p>
    <w:p>
      <w:pPr/>
      <w:r>
        <w:t>Afhankelijk van het contact en de opdracht kan BD-Allround de volgende categorieën persoonsgegevens verwerken:</w:t>
      </w:r>
    </w:p>
    <w:p>
      <w:pPr>
        <w:pStyle w:val="LegalBullet"/>
      </w:pPr>
      <w:r>
        <w:rPr>
          <w:color w:val="244854"/>
        </w:rPr>
        <w:t xml:space="preserve">• </w:t>
      </w:r>
      <w:r>
        <w:t>naam en contactgegevens, zoals voor- en achternaam, telefoonnummer en e-mailadres;</w:t>
      </w:r>
    </w:p>
    <w:p>
      <w:pPr>
        <w:pStyle w:val="LegalBullet"/>
      </w:pPr>
      <w:r>
        <w:rPr>
          <w:color w:val="244854"/>
        </w:rPr>
        <w:t xml:space="preserve">• </w:t>
      </w:r>
      <w:r>
        <w:t>adresgegevens, waaronder straat, huisnummer, postcode en woonplaats, voor locatiebezoek, offerte en uitvoering;</w:t>
      </w:r>
    </w:p>
    <w:p>
      <w:pPr>
        <w:pStyle w:val="LegalBullet"/>
      </w:pPr>
      <w:r>
        <w:rPr>
          <w:color w:val="244854"/>
        </w:rPr>
        <w:t xml:space="preserve">• </w:t>
      </w:r>
      <w:r>
        <w:t>projectinformatie, wensen, opmerkingen en communicatie over badkamer-, toilet-, sanitair-, installatie-, service- of onderhoudswerkzaamheden;</w:t>
      </w:r>
    </w:p>
    <w:p>
      <w:pPr>
        <w:pStyle w:val="LegalBullet"/>
      </w:pPr>
      <w:r>
        <w:rPr>
          <w:color w:val="244854"/>
        </w:rPr>
        <w:t xml:space="preserve">• </w:t>
      </w:r>
      <w:r>
        <w:t>foto’s, tekeningen, plattegronden en andere documenten die via het contactformulier, e-mail of tijdens het project worden verstrekt;</w:t>
      </w:r>
    </w:p>
    <w:p>
      <w:pPr>
        <w:pStyle w:val="LegalBullet"/>
      </w:pPr>
      <w:r>
        <w:rPr>
          <w:color w:val="244854"/>
        </w:rPr>
        <w:t xml:space="preserve">• </w:t>
      </w:r>
      <w:r>
        <w:t>offerte-, contract-, planning-, service- en oplevergegevens;</w:t>
      </w:r>
    </w:p>
    <w:p>
      <w:pPr>
        <w:pStyle w:val="LegalBullet"/>
      </w:pPr>
      <w:r>
        <w:rPr>
          <w:color w:val="244854"/>
        </w:rPr>
        <w:t xml:space="preserve">• </w:t>
      </w:r>
      <w:r>
        <w:t>factuur-, betaal- en administratieve gegevens, waaronder bankgegevens voor zover nodig voor betaling of terugbetaling;</w:t>
      </w:r>
    </w:p>
    <w:p>
      <w:pPr>
        <w:pStyle w:val="LegalBullet"/>
      </w:pPr>
      <w:r>
        <w:rPr>
          <w:color w:val="244854"/>
        </w:rPr>
        <w:t xml:space="preserve">• </w:t>
      </w:r>
      <w:r>
        <w:t>correspondentie, afspraken en klacht- of garantiedossiers;</w:t>
      </w:r>
    </w:p>
    <w:p>
      <w:pPr>
        <w:pStyle w:val="LegalBullet"/>
      </w:pPr>
      <w:r>
        <w:rPr>
          <w:color w:val="244854"/>
        </w:rPr>
        <w:t xml:space="preserve">• </w:t>
      </w:r>
      <w:r>
        <w:t>websitegegevens zoals IP-adres, browser-/apparaatinformatie, loggegevens en cookievoorkeuren voor zover deze door de website of toegestane diensten worden verwerkt;</w:t>
      </w:r>
    </w:p>
    <w:p>
      <w:pPr>
        <w:pStyle w:val="LegalBullet"/>
      </w:pPr>
      <w:r>
        <w:rPr>
          <w:color w:val="244854"/>
        </w:rPr>
        <w:t xml:space="preserve">• </w:t>
      </w:r>
      <w:r>
        <w:t>projectfoto’s of video’s, indien die voor uitvoering, oplevering, service of – met passende grondslag – portfolio/publicatie worden gebruikt.</w:t>
      </w:r>
    </w:p>
    <w:p>
      <w:pPr/>
      <w:r>
        <w:t>BD-Allround vraagt niet actief om bijzondere categorieën persoonsgegevens. Verstrek via formulieren of uploads daarom geen medische, identiteits- of andere gevoelige gegevens tenzij dat aantoonbaar noodzakelijk is en vooraf is afgestemd.</w:t>
      </w:r>
    </w:p>
    <w:p>
      <w:pPr>
        <w:pStyle w:val="Heading1"/>
        <w:pBdr>
          <w:bottom w:val="single" w:sz="6" w:space="1" w:color="D7E0E2"/>
        </w:pBdr>
      </w:pPr>
      <w:r>
        <w:t>3. Doeleinden en grondslagen</w:t>
      </w:r>
    </w:p>
    <w:p>
      <w:pPr/>
      <w:r>
        <w:t>BD-Allround verwerkt persoonsgegevens alleen wanneer daarvoor een grondslag uit de AVG bestaat. De belangrijkste verwerkingen zijn:</w:t>
      </w:r>
    </w:p>
    <w:tbl>
      <w:tblPr>
        <w:tblStyle w:val="TableGrid"/>
        <w:tblW w:type="auto" w:w="0"/>
        <w:jc w:val="center"/>
        <w:tblLayout w:type="fixed"/>
        <w:tblLook w:firstColumn="1" w:firstRow="1" w:lastColumn="0" w:lastRow="0" w:noHBand="0" w:noVBand="1" w:val="04A0"/>
      </w:tblPr>
      <w:tblGrid>
        <w:gridCol w:w="3400"/>
        <w:gridCol w:w="3400"/>
        <w:gridCol w:w="3400"/>
      </w:tblGrid>
      <w:tr>
        <w:trPr>
          <w:tblHeader w:val="true"/>
        </w:trPr>
        <w:tc>
          <w:tcPr>
            <w:tcW w:type="dxa" w:w="3400"/>
            <w:shd w:fill="244854"/>
            <w:tcMar>
              <w:top w:w="90" w:type="dxa"/>
              <w:start w:w="110" w:type="dxa"/>
              <w:bottom w:w="90" w:type="dxa"/>
              <w:end w:w="110" w:type="dxa"/>
            </w:tcMar>
          </w:tcPr>
          <w:p>
            <w:r>
              <w:rPr>
                <w:b/>
                <w:color w:val="FFFFFF"/>
              </w:rPr>
              <w:t>Doel</w:t>
            </w:r>
          </w:p>
        </w:tc>
        <w:tc>
          <w:tcPr>
            <w:tcW w:type="dxa" w:w="3400"/>
            <w:shd w:fill="244854"/>
            <w:tcMar>
              <w:top w:w="90" w:type="dxa"/>
              <w:start w:w="110" w:type="dxa"/>
              <w:bottom w:w="90" w:type="dxa"/>
              <w:end w:w="110" w:type="dxa"/>
            </w:tcMar>
          </w:tcPr>
          <w:p>
            <w:r>
              <w:rPr>
                <w:b/>
                <w:color w:val="FFFFFF"/>
              </w:rPr>
              <w:t>Voorbeelden</w:t>
            </w:r>
          </w:p>
        </w:tc>
        <w:tc>
          <w:tcPr>
            <w:tcW w:type="dxa" w:w="3400"/>
            <w:shd w:fill="244854"/>
            <w:tcMar>
              <w:top w:w="90" w:type="dxa"/>
              <w:start w:w="110" w:type="dxa"/>
              <w:bottom w:w="90" w:type="dxa"/>
              <w:end w:w="110" w:type="dxa"/>
            </w:tcMar>
          </w:tcPr>
          <w:p>
            <w:r>
              <w:rPr>
                <w:b/>
                <w:color w:val="FFFFFF"/>
              </w:rPr>
              <w:t>Grondslag</w:t>
            </w:r>
          </w:p>
        </w:tc>
      </w:tr>
      <w:tr>
        <w:tc>
          <w:tcPr>
            <w:tcW w:type="dxa" w:w="3400"/>
            <w:tcMar>
              <w:top w:w="90" w:type="dxa"/>
              <w:start w:w="110" w:type="dxa"/>
              <w:bottom w:w="90" w:type="dxa"/>
              <w:end w:w="110" w:type="dxa"/>
            </w:tcMar>
          </w:tcPr>
          <w:p>
            <w:r>
              <w:t>Aanvragen en offertes</w:t>
            </w:r>
          </w:p>
        </w:tc>
        <w:tc>
          <w:tcPr>
            <w:tcW w:type="dxa" w:w="3400"/>
            <w:tcMar>
              <w:top w:w="90" w:type="dxa"/>
              <w:start w:w="110" w:type="dxa"/>
              <w:bottom w:w="90" w:type="dxa"/>
              <w:end w:w="110" w:type="dxa"/>
            </w:tcMar>
          </w:tcPr>
          <w:p>
            <w:r>
              <w:t>Reageren op contact, inmeten, advies, calculatie en offerte</w:t>
            </w:r>
          </w:p>
        </w:tc>
        <w:tc>
          <w:tcPr>
            <w:tcW w:type="dxa" w:w="3400"/>
            <w:tcMar>
              <w:top w:w="90" w:type="dxa"/>
              <w:start w:w="110" w:type="dxa"/>
              <w:bottom w:w="90" w:type="dxa"/>
              <w:end w:w="110" w:type="dxa"/>
            </w:tcMar>
          </w:tcPr>
          <w:p>
            <w:r>
              <w:t>Voorbereiding/uitvoering overeenkomst; gerechtvaardigd belang bij zakelijke contactpersonen</w:t>
            </w:r>
          </w:p>
        </w:tc>
      </w:tr>
      <w:tr>
        <w:tc>
          <w:tcPr>
            <w:tcW w:type="dxa" w:w="3400"/>
            <w:tcMar>
              <w:top w:w="90" w:type="dxa"/>
              <w:start w:w="110" w:type="dxa"/>
              <w:bottom w:w="90" w:type="dxa"/>
              <w:end w:w="110" w:type="dxa"/>
            </w:tcMar>
          </w:tcPr>
          <w:p>
            <w:r>
              <w:t>Uitvoering van projecten</w:t>
            </w:r>
          </w:p>
        </w:tc>
        <w:tc>
          <w:tcPr>
            <w:tcW w:type="dxa" w:w="3400"/>
            <w:tcMar>
              <w:top w:w="90" w:type="dxa"/>
              <w:start w:w="110" w:type="dxa"/>
              <w:bottom w:w="90" w:type="dxa"/>
              <w:end w:w="110" w:type="dxa"/>
            </w:tcMar>
          </w:tcPr>
          <w:p>
            <w:r>
              <w:t>Planning, levering, montage, renovatie, service en onderhoud</w:t>
            </w:r>
          </w:p>
        </w:tc>
        <w:tc>
          <w:tcPr>
            <w:tcW w:type="dxa" w:w="3400"/>
            <w:tcMar>
              <w:top w:w="90" w:type="dxa"/>
              <w:start w:w="110" w:type="dxa"/>
              <w:bottom w:w="90" w:type="dxa"/>
              <w:end w:w="110" w:type="dxa"/>
            </w:tcMar>
          </w:tcPr>
          <w:p>
            <w:r>
              <w:t>Uitvoering overeenkomst</w:t>
            </w:r>
          </w:p>
        </w:tc>
      </w:tr>
      <w:tr>
        <w:tc>
          <w:tcPr>
            <w:tcW w:type="dxa" w:w="3400"/>
            <w:tcMar>
              <w:top w:w="90" w:type="dxa"/>
              <w:start w:w="110" w:type="dxa"/>
              <w:bottom w:w="90" w:type="dxa"/>
              <w:end w:w="110" w:type="dxa"/>
            </w:tcMar>
          </w:tcPr>
          <w:p>
            <w:r>
              <w:t>Administratie en betaling</w:t>
            </w:r>
          </w:p>
        </w:tc>
        <w:tc>
          <w:tcPr>
            <w:tcW w:type="dxa" w:w="3400"/>
            <w:tcMar>
              <w:top w:w="90" w:type="dxa"/>
              <w:start w:w="110" w:type="dxa"/>
              <w:bottom w:w="90" w:type="dxa"/>
              <w:end w:w="110" w:type="dxa"/>
            </w:tcMar>
          </w:tcPr>
          <w:p>
            <w:r>
              <w:t>Facturen, betalingen, boekhouding en fiscale administratie</w:t>
            </w:r>
          </w:p>
        </w:tc>
        <w:tc>
          <w:tcPr>
            <w:tcW w:type="dxa" w:w="3400"/>
            <w:tcMar>
              <w:top w:w="90" w:type="dxa"/>
              <w:start w:w="110" w:type="dxa"/>
              <w:bottom w:w="90" w:type="dxa"/>
              <w:end w:w="110" w:type="dxa"/>
            </w:tcMar>
          </w:tcPr>
          <w:p>
            <w:r>
              <w:t>Uitvoering overeenkomst en wettelijke verplichting</w:t>
            </w:r>
          </w:p>
        </w:tc>
      </w:tr>
      <w:tr>
        <w:tc>
          <w:tcPr>
            <w:tcW w:type="dxa" w:w="3400"/>
            <w:tcMar>
              <w:top w:w="90" w:type="dxa"/>
              <w:start w:w="110" w:type="dxa"/>
              <w:bottom w:w="90" w:type="dxa"/>
              <w:end w:w="110" w:type="dxa"/>
            </w:tcMar>
          </w:tcPr>
          <w:p>
            <w:r>
              <w:t>Klantenservice en garantie</w:t>
            </w:r>
          </w:p>
        </w:tc>
        <w:tc>
          <w:tcPr>
            <w:tcW w:type="dxa" w:w="3400"/>
            <w:tcMar>
              <w:top w:w="90" w:type="dxa"/>
              <w:start w:w="110" w:type="dxa"/>
              <w:bottom w:w="90" w:type="dxa"/>
              <w:end w:w="110" w:type="dxa"/>
            </w:tcMar>
          </w:tcPr>
          <w:p>
            <w:r>
              <w:t>Vragen, klachten, service, herstel en dossieropbouw</w:t>
            </w:r>
          </w:p>
        </w:tc>
        <w:tc>
          <w:tcPr>
            <w:tcW w:type="dxa" w:w="3400"/>
            <w:tcMar>
              <w:top w:w="90" w:type="dxa"/>
              <w:start w:w="110" w:type="dxa"/>
              <w:bottom w:w="90" w:type="dxa"/>
              <w:end w:w="110" w:type="dxa"/>
            </w:tcMar>
          </w:tcPr>
          <w:p>
            <w:r>
              <w:t>Uitvoering overeenkomst; wettelijke verplichting; gerechtvaardigd belang</w:t>
            </w:r>
          </w:p>
        </w:tc>
      </w:tr>
      <w:tr>
        <w:tc>
          <w:tcPr>
            <w:tcW w:type="dxa" w:w="3400"/>
            <w:tcMar>
              <w:top w:w="90" w:type="dxa"/>
              <w:start w:w="110" w:type="dxa"/>
              <w:bottom w:w="90" w:type="dxa"/>
              <w:end w:w="110" w:type="dxa"/>
            </w:tcMar>
          </w:tcPr>
          <w:p>
            <w:r>
              <w:t>Beveiliging en websitebeheer</w:t>
            </w:r>
          </w:p>
        </w:tc>
        <w:tc>
          <w:tcPr>
            <w:tcW w:type="dxa" w:w="3400"/>
            <w:tcMar>
              <w:top w:w="90" w:type="dxa"/>
              <w:start w:w="110" w:type="dxa"/>
              <w:bottom w:w="90" w:type="dxa"/>
              <w:end w:w="110" w:type="dxa"/>
            </w:tcMar>
          </w:tcPr>
          <w:p>
            <w:r>
              <w:t>Logbestanden, fraudepreventie, foutanalyse, cookievoorkeuren</w:t>
            </w:r>
          </w:p>
        </w:tc>
        <w:tc>
          <w:tcPr>
            <w:tcW w:type="dxa" w:w="3400"/>
            <w:tcMar>
              <w:top w:w="90" w:type="dxa"/>
              <w:start w:w="110" w:type="dxa"/>
              <w:bottom w:w="90" w:type="dxa"/>
              <w:end w:w="110" w:type="dxa"/>
            </w:tcMar>
          </w:tcPr>
          <w:p>
            <w:r>
              <w:t>Gerechtvaardigd belang en/of wettelijke verplichting</w:t>
            </w:r>
          </w:p>
        </w:tc>
      </w:tr>
      <w:tr>
        <w:tc>
          <w:tcPr>
            <w:tcW w:type="dxa" w:w="3400"/>
            <w:tcMar>
              <w:top w:w="90" w:type="dxa"/>
              <w:start w:w="110" w:type="dxa"/>
              <w:bottom w:w="90" w:type="dxa"/>
              <w:end w:w="110" w:type="dxa"/>
            </w:tcMar>
          </w:tcPr>
          <w:p>
            <w:r>
              <w:t>Marketing</w:t>
            </w:r>
          </w:p>
        </w:tc>
        <w:tc>
          <w:tcPr>
            <w:tcW w:type="dxa" w:w="3400"/>
            <w:tcMar>
              <w:top w:w="90" w:type="dxa"/>
              <w:start w:w="110" w:type="dxa"/>
              <w:bottom w:w="90" w:type="dxa"/>
              <w:end w:w="110" w:type="dxa"/>
            </w:tcMar>
          </w:tcPr>
          <w:p>
            <w:r>
              <w:t>Nieuws of aanbiedingen aan prospects en klanten binnen de wettelijke kaders</w:t>
            </w:r>
          </w:p>
        </w:tc>
        <w:tc>
          <w:tcPr>
            <w:tcW w:type="dxa" w:w="3400"/>
            <w:tcMar>
              <w:top w:w="90" w:type="dxa"/>
              <w:start w:w="110" w:type="dxa"/>
              <w:bottom w:w="90" w:type="dxa"/>
              <w:end w:w="110" w:type="dxa"/>
            </w:tcMar>
          </w:tcPr>
          <w:p>
            <w:r>
              <w:t>Toestemming waar vereist; anders gerechtvaardigd belang voor passende eigen klantcommunicatie met afmeldmogelijkheid</w:t>
            </w:r>
          </w:p>
        </w:tc>
      </w:tr>
      <w:tr>
        <w:tc>
          <w:tcPr>
            <w:tcW w:type="dxa" w:w="3400"/>
            <w:tcMar>
              <w:top w:w="90" w:type="dxa"/>
              <w:start w:w="110" w:type="dxa"/>
              <w:bottom w:w="90" w:type="dxa"/>
              <w:end w:w="110" w:type="dxa"/>
            </w:tcMar>
          </w:tcPr>
          <w:p>
            <w:r>
              <w:t>Portfolio en sociale media</w:t>
            </w:r>
          </w:p>
        </w:tc>
        <w:tc>
          <w:tcPr>
            <w:tcW w:type="dxa" w:w="3400"/>
            <w:tcMar>
              <w:top w:w="90" w:type="dxa"/>
              <w:start w:w="110" w:type="dxa"/>
              <w:bottom w:w="90" w:type="dxa"/>
              <w:end w:w="110" w:type="dxa"/>
            </w:tcMar>
          </w:tcPr>
          <w:p>
            <w:r>
              <w:t>Projectbeelden of referenties</w:t>
            </w:r>
          </w:p>
        </w:tc>
        <w:tc>
          <w:tcPr>
            <w:tcW w:type="dxa" w:w="3400"/>
            <w:tcMar>
              <w:top w:w="90" w:type="dxa"/>
              <w:start w:w="110" w:type="dxa"/>
              <w:bottom w:w="90" w:type="dxa"/>
              <w:end w:w="110" w:type="dxa"/>
            </w:tcMar>
          </w:tcPr>
          <w:p>
            <w:r>
              <w:t>Toestemming wanneer vereist; in andere gevallen alleen een passende andere grondslag en met respect voor privacy</w:t>
            </w:r>
          </w:p>
        </w:tc>
      </w:tr>
      <w:tr>
        <w:tc>
          <w:tcPr>
            <w:tcW w:type="dxa" w:w="3400"/>
            <w:tcMar>
              <w:top w:w="90" w:type="dxa"/>
              <w:start w:w="110" w:type="dxa"/>
              <w:bottom w:w="90" w:type="dxa"/>
              <w:end w:w="110" w:type="dxa"/>
            </w:tcMar>
          </w:tcPr>
          <w:p>
            <w:r>
              <w:t>Niet-noodzakelijke cookies/externe content</w:t>
            </w:r>
          </w:p>
        </w:tc>
        <w:tc>
          <w:tcPr>
            <w:tcW w:type="dxa" w:w="3400"/>
            <w:tcMar>
              <w:top w:w="90" w:type="dxa"/>
              <w:start w:w="110" w:type="dxa"/>
              <w:bottom w:w="90" w:type="dxa"/>
              <w:end w:w="110" w:type="dxa"/>
            </w:tcMar>
          </w:tcPr>
          <w:p>
            <w:r>
              <w:t>Bijvoorbeeld tracking, marketing of externe kaartdiensten</w:t>
            </w:r>
          </w:p>
        </w:tc>
        <w:tc>
          <w:tcPr>
            <w:tcW w:type="dxa" w:w="3400"/>
            <w:tcMar>
              <w:top w:w="90" w:type="dxa"/>
              <w:start w:w="110" w:type="dxa"/>
              <w:bottom w:w="90" w:type="dxa"/>
              <w:end w:w="110" w:type="dxa"/>
            </w:tcMar>
          </w:tcPr>
          <w:p>
            <w:r>
              <w:t>Toestemming</w:t>
            </w:r>
          </w:p>
        </w:tc>
      </w:tr>
    </w:tbl>
    <w:p>
      <w:pPr>
        <w:pStyle w:val="Heading1"/>
        <w:pBdr>
          <w:bottom w:val="single" w:sz="6" w:space="1" w:color="D7E0E2"/>
        </w:pBdr>
      </w:pPr>
      <w:r>
        <w:t>4. Contactformulier en uploads</w:t>
      </w:r>
    </w:p>
    <w:p>
      <w:pPr/>
      <w:r>
        <w:t>Via het huidige contactformulier van BD-Allround kunnen onder meer naam, telefoonnummer, e-mailadres, straat en huisnummer, plaats, type project, bericht en documenten of foto’s over de huidige situatie worden aangeleverd. Deze gegevens worden gebruikt om de aanvraag te beoordelen, contact op te nemen, een afspraak of offerte voor te bereiden en – wanneer een opdracht ontstaat – de overeenkomst uit te voeren.</w:t>
      </w:r>
    </w:p>
    <w:p>
      <w:pPr/>
      <w:r>
        <w:t>Documenten worden alleen bewaard zolang dat voor aanvraag, opdracht, service, bewijs of een wettelijke bewaarplicht noodzakelijk is. Verstuur geen documenten die meer persoonsgegevens bevatten dan voor de aanvraag nodig is.</w:t>
      </w:r>
    </w:p>
    <w:p>
      <w:pPr>
        <w:pStyle w:val="Heading1"/>
        <w:pBdr>
          <w:bottom w:val="single" w:sz="6" w:space="1" w:color="D7E0E2"/>
        </w:pBdr>
      </w:pPr>
      <w:r>
        <w:t>5. Bewaartermijnen</w:t>
      </w:r>
    </w:p>
    <w:p>
      <w:pPr/>
      <w:r>
        <w:t>BD-Allround bewaart persoonsgegevens niet langer dan nodig. Als uitgangspunt hanteert BD-Allround de volgende termijnen, tenzij een langere termijn nodig is wegens een wettelijke plicht, lopende garantie, klacht, geschil of juridische aanspraak:</w:t>
      </w:r>
    </w:p>
    <w:p>
      <w:pPr>
        <w:pStyle w:val="LegalBullet"/>
      </w:pPr>
      <w:r>
        <w:rPr>
          <w:color w:val="244854"/>
        </w:rPr>
        <w:t xml:space="preserve">• </w:t>
      </w:r>
      <w:r>
        <w:t>contact- en offertegegevens zonder opdracht: maximaal 2 jaar na het laatste inhoudelijke contact;</w:t>
      </w:r>
    </w:p>
    <w:p>
      <w:pPr>
        <w:pStyle w:val="LegalBullet"/>
      </w:pPr>
      <w:r>
        <w:rPr>
          <w:color w:val="244854"/>
        </w:rPr>
        <w:t xml:space="preserve">• </w:t>
      </w:r>
      <w:r>
        <w:t>project- en klantdossiers: in beginsel tot 5 jaar na afronding van het project voor service, garantie en dossiercontinuïteit, voor zover daarvoor een geldige grondslag bestaat;</w:t>
      </w:r>
    </w:p>
    <w:p>
      <w:pPr>
        <w:pStyle w:val="LegalBullet"/>
      </w:pPr>
      <w:r>
        <w:rPr>
          <w:color w:val="244854"/>
        </w:rPr>
        <w:t xml:space="preserve">• </w:t>
      </w:r>
      <w:r>
        <w:t>financiële en fiscale administratie: in beginsel 7 jaar, overeenkomstig de geldende fiscale bewaarplicht;</w:t>
      </w:r>
    </w:p>
    <w:p>
      <w:pPr>
        <w:pStyle w:val="LegalBullet"/>
      </w:pPr>
      <w:r>
        <w:rPr>
          <w:color w:val="244854"/>
        </w:rPr>
        <w:t xml:space="preserve">• </w:t>
      </w:r>
      <w:r>
        <w:t>cookie- en toestemmingsgegevens: zolang noodzakelijk om de keuze aan te tonen en overeenkomstig de bewaartermijn van de betreffende cookie of consenttool;</w:t>
      </w:r>
    </w:p>
    <w:p>
      <w:pPr>
        <w:pStyle w:val="LegalBullet"/>
      </w:pPr>
      <w:r>
        <w:rPr>
          <w:color w:val="244854"/>
        </w:rPr>
        <w:t xml:space="preserve">• </w:t>
      </w:r>
      <w:r>
        <w:t>gegevens voor directe marketing: totdat toestemming wordt ingetrokken, bezwaar wordt gemaakt of het doel vervalt.</w:t>
      </w:r>
    </w:p>
    <w:p>
      <w:pPr>
        <w:pStyle w:val="Heading1"/>
        <w:pBdr>
          <w:bottom w:val="single" w:sz="6" w:space="1" w:color="D7E0E2"/>
        </w:pBdr>
      </w:pPr>
      <w:r>
        <w:t>6. Delen met derden</w:t>
      </w:r>
    </w:p>
    <w:p>
      <w:pPr/>
      <w:r>
        <w:t>BD-Allround verkoopt geen persoonsgegevens. Gegevens kunnen uitsluitend worden gedeeld wanneer dat nodig is voor dienstverlening, bedrijfsvoering of een wettelijke verplichting. Daarbij kan het gaan om:</w:t>
      </w:r>
    </w:p>
    <w:p>
      <w:pPr>
        <w:pStyle w:val="LegalBullet"/>
      </w:pPr>
      <w:r>
        <w:rPr>
          <w:color w:val="244854"/>
        </w:rPr>
        <w:t xml:space="preserve">• </w:t>
      </w:r>
      <w:r>
        <w:t>leveranciers, fabrikanten en groothandels wanneer gegevens noodzakelijk zijn voor bestelling, levering, garantie of service;</w:t>
      </w:r>
    </w:p>
    <w:p>
      <w:pPr>
        <w:pStyle w:val="LegalBullet"/>
      </w:pPr>
      <w:r>
        <w:rPr>
          <w:color w:val="244854"/>
        </w:rPr>
        <w:t xml:space="preserve">• </w:t>
      </w:r>
      <w:r>
        <w:t>onderaannemers en vakpartners die bij een project worden ingezet, voor zover zij gegevens nodig hebben om hun werkzaamheden uit te voeren;</w:t>
      </w:r>
    </w:p>
    <w:p>
      <w:pPr>
        <w:pStyle w:val="LegalBullet"/>
      </w:pPr>
      <w:r>
        <w:rPr>
          <w:color w:val="244854"/>
        </w:rPr>
        <w:t xml:space="preserve">• </w:t>
      </w:r>
      <w:r>
        <w:t>boekhouder/accountant, bank, betaal- en administratiedienstverleners;</w:t>
      </w:r>
    </w:p>
    <w:p>
      <w:pPr>
        <w:pStyle w:val="LegalBullet"/>
      </w:pPr>
      <w:r>
        <w:rPr>
          <w:color w:val="244854"/>
        </w:rPr>
        <w:t xml:space="preserve">• </w:t>
      </w:r>
      <w:r>
        <w:t>IT-, hosting-, e-mail-, cloud-, website- en beveiligingsdienstverleners;</w:t>
      </w:r>
    </w:p>
    <w:p>
      <w:pPr>
        <w:pStyle w:val="LegalBullet"/>
      </w:pPr>
      <w:r>
        <w:rPr>
          <w:color w:val="244854"/>
        </w:rPr>
        <w:t xml:space="preserve">• </w:t>
      </w:r>
      <w:r>
        <w:t>verzekeraars, juridische adviseurs, incassodienstverleners of gerechtsdeurwaarders indien dat noodzakelijk is voor een geschil of vordering;</w:t>
      </w:r>
    </w:p>
    <w:p>
      <w:pPr>
        <w:pStyle w:val="LegalBullet"/>
      </w:pPr>
      <w:r>
        <w:rPr>
          <w:color w:val="244854"/>
        </w:rPr>
        <w:t xml:space="preserve">• </w:t>
      </w:r>
      <w:r>
        <w:t>overheidsinstanties of toezichthouders wanneer BD-Allround wettelijk tot verstrekking verplicht is.</w:t>
      </w:r>
    </w:p>
    <w:p>
      <w:pPr/>
      <w:r>
        <w:t>Met partijen die in opdracht van BD-Allround persoonsgegevens verwerken, worden waar nodig afspraken gemaakt die voldoen aan artikel 28 AVG. Ontvangers die zelfstandig verwerkingsverantwoordelijke zijn, verwerken gegevens onder hun eigen verantwoordelijkheid.</w:t>
      </w:r>
    </w:p>
    <w:p>
      <w:pPr>
        <w:pStyle w:val="Heading1"/>
        <w:pBdr>
          <w:bottom w:val="single" w:sz="6" w:space="1" w:color="D7E0E2"/>
        </w:pBdr>
      </w:pPr>
      <w:r>
        <w:t>7. Doorgifte buiten de Europese Economische Ruimte</w:t>
      </w:r>
    </w:p>
    <w:p>
      <w:pPr/>
      <w:r>
        <w:t>BD-Allround kiest waar mogelijk voor verwerking binnen de Europese Economische Ruimte. Indien een leverancier of externe dienst gegevens buiten de EER verwerkt, gebeurt dit alleen wanneer daarvoor een geldig doorgiftemechanisme bestaat, zoals een adequaatheidsbesluit of passende waarborgen, waaronder de door de Europese Commissie vastgestelde standaardcontractbepalingen, voor zover vereist.</w:t>
      </w:r>
    </w:p>
    <w:p>
      <w:pPr>
        <w:pStyle w:val="Heading1"/>
        <w:pBdr>
          <w:bottom w:val="single" w:sz="6" w:space="1" w:color="D7E0E2"/>
        </w:pBdr>
      </w:pPr>
      <w:r>
        <w:t>8. Beveiliging</w:t>
      </w:r>
    </w:p>
    <w:p>
      <w:pPr/>
      <w:r>
        <w:t>BD-Allround neemt passende technische en organisatorische maatregelen om persoonsgegevens te beschermen tegen verlies, misbruik, onbevoegde toegang, ongewenste openbaarmaking en ongeoorloofde wijziging. De maatregelen worden afgestemd op de aard van de gegevens, de verwerking en de redelijkerwijs te verwachten risico’s.</w:t>
      </w:r>
    </w:p>
    <w:p>
      <w:pPr/>
      <w:r>
        <w:t>Wanneer zich een beveiligingsincident voordoet, beoordeelt BD-Allround of sprake is van een meldplichtig datalek en handelt zij overeenkomstig de AVG.</w:t>
      </w:r>
    </w:p>
    <w:p>
      <w:pPr>
        <w:pStyle w:val="Heading1"/>
        <w:pBdr>
          <w:bottom w:val="single" w:sz="6" w:space="1" w:color="D7E0E2"/>
        </w:pBdr>
      </w:pPr>
      <w:r>
        <w:t>9. Uw privacyrechten</w:t>
      </w:r>
    </w:p>
    <w:p>
      <w:pPr/>
      <w:r>
        <w:t>Voor zover aan de wettelijke voorwaarden is voldaan, heeft u het recht om:</w:t>
      </w:r>
    </w:p>
    <w:p>
      <w:pPr>
        <w:pStyle w:val="LegalBullet"/>
      </w:pPr>
      <w:r>
        <w:rPr>
          <w:color w:val="244854"/>
        </w:rPr>
        <w:t xml:space="preserve">• </w:t>
      </w:r>
      <w:r>
        <w:t>inzage te vragen in persoonsgegevens die BD-Allround over u verwerkt;</w:t>
      </w:r>
    </w:p>
    <w:p>
      <w:pPr>
        <w:pStyle w:val="LegalBullet"/>
      </w:pPr>
      <w:r>
        <w:rPr>
          <w:color w:val="244854"/>
        </w:rPr>
        <w:t xml:space="preserve">• </w:t>
      </w:r>
      <w:r>
        <w:t>onjuiste gegevens te laten corrigeren of onvolledige gegevens te laten aanvullen;</w:t>
      </w:r>
    </w:p>
    <w:p>
      <w:pPr>
        <w:pStyle w:val="LegalBullet"/>
      </w:pPr>
      <w:r>
        <w:rPr>
          <w:color w:val="244854"/>
        </w:rPr>
        <w:t xml:space="preserve">• </w:t>
      </w:r>
      <w:r>
        <w:t>verwijdering van persoonsgegevens te vragen;</w:t>
      </w:r>
    </w:p>
    <w:p>
      <w:pPr>
        <w:pStyle w:val="LegalBullet"/>
      </w:pPr>
      <w:r>
        <w:rPr>
          <w:color w:val="244854"/>
        </w:rPr>
        <w:t xml:space="preserve">• </w:t>
      </w:r>
      <w:r>
        <w:t>beperking van een verwerking te vragen;</w:t>
      </w:r>
    </w:p>
    <w:p>
      <w:pPr>
        <w:pStyle w:val="LegalBullet"/>
      </w:pPr>
      <w:r>
        <w:rPr>
          <w:color w:val="244854"/>
        </w:rPr>
        <w:t xml:space="preserve">• </w:t>
      </w:r>
      <w:r>
        <w:t>bezwaar te maken tegen een verwerking op basis van gerechtvaardigd belang of tegen direct marketing;</w:t>
      </w:r>
    </w:p>
    <w:p>
      <w:pPr>
        <w:pStyle w:val="LegalBullet"/>
      </w:pPr>
      <w:r>
        <w:rPr>
          <w:color w:val="244854"/>
        </w:rPr>
        <w:t xml:space="preserve">• </w:t>
      </w:r>
      <w:r>
        <w:t>gegevens te ontvangen of te laten overdragen wanneer het recht op dataportabiliteit van toepassing is;</w:t>
      </w:r>
    </w:p>
    <w:p>
      <w:pPr>
        <w:pStyle w:val="LegalBullet"/>
      </w:pPr>
      <w:r>
        <w:rPr>
          <w:color w:val="244854"/>
        </w:rPr>
        <w:t xml:space="preserve">• </w:t>
      </w:r>
      <w:r>
        <w:t>een gegeven toestemming op ieder moment in te trekken, zonder dat dit de rechtmatigheid van eerdere verwerking aantast.</w:t>
      </w:r>
    </w:p>
    <w:p>
      <w:pPr/>
      <w:r>
        <w:t>Een verzoek kan worden gestuurd naar info@bd-allround.nl. BD-Allround mag aanvullende informatie vragen om de identiteit van de verzoeker redelijkerwijs te verifiëren, maar vraagt niet standaard om een volledige kopie van een identiteitsbewijs. In beginsel reageert BD-Allround binnen één maand; deze termijn kan in complexe gevallen conform de AVG worden verlengd.</w:t>
      </w:r>
    </w:p>
    <w:p>
      <w:pPr>
        <w:pStyle w:val="Heading1"/>
        <w:pBdr>
          <w:bottom w:val="single" w:sz="6" w:space="1" w:color="D7E0E2"/>
        </w:pBdr>
      </w:pPr>
      <w:r>
        <w:t>10. Klacht bij de Autoriteit Persoonsgegevens</w:t>
      </w:r>
    </w:p>
    <w:p>
      <w:pPr/>
      <w:r>
        <w:t>Heeft u een klacht over de verwerking van persoonsgegevens, dan bespreekt BD-Allround deze graag eerst met u. U heeft daarnaast het recht een klacht in te dienen bij de Autoriteit Persoonsgegevens, de Nederlandse toezichthouder op de AVG.</w:t>
      </w:r>
    </w:p>
    <w:p>
      <w:pPr>
        <w:pStyle w:val="Heading1"/>
        <w:pBdr>
          <w:bottom w:val="single" w:sz="6" w:space="1" w:color="D7E0E2"/>
        </w:pBdr>
      </w:pPr>
      <w:r>
        <w:t>11. Geautomatiseerde besluitvorming</w:t>
      </w:r>
    </w:p>
    <w:p>
      <w:pPr/>
      <w:r>
        <w:t>BD-Allround neemt geen besluiten die voor personen rechtsgevolgen hebben of hen anderszins in aanmerkelijke mate treffen uitsluitend op basis van geautomatiseerde verwerking, inclusief profilering, tenzij dit later expliciet wordt ingevoerd met een geldige wettelijke grondslag en passende waarborgen.</w:t>
      </w:r>
    </w:p>
    <w:p>
      <w:pPr>
        <w:pStyle w:val="Heading1"/>
        <w:pBdr>
          <w:bottom w:val="single" w:sz="6" w:space="1" w:color="D7E0E2"/>
        </w:pBdr>
      </w:pPr>
      <w:r>
        <w:t>12. Cookies en vergelijkbare technieken</w:t>
      </w:r>
    </w:p>
    <w:p>
      <w:pPr/>
      <w:r>
        <w:t>Cookies zijn kleine gegevensbestanden die via een website op een apparaat kunnen worden opgeslagen of uitgelezen. BD-Allround maakt onderscheid tussen noodzakelijke/functionele cookies, beperkt analytische cookies en overige cookies zoals tracking- of marketingcookies.</w:t>
      </w:r>
    </w:p>
    <w:p>
      <w:pPr>
        <w:pStyle w:val="Heading2"/>
      </w:pPr>
      <w:r>
        <w:t>12.1 Noodzakelijke en functionele cookies</w:t>
      </w:r>
    </w:p>
    <w:p>
      <w:pPr/>
      <w:r>
        <w:t>Deze cookies zijn nodig om de website technisch te laten functioneren, beveiliging te ondersteunen, formulieren correct te laten werken of een cookievoorkeur te onthouden. Voor cookies die strikt noodzakelijk zijn, is voorafgaande toestemming niet vereist. BD-Allround informeert bezoekers wel over het gebruik ervan.</w:t>
      </w:r>
    </w:p>
    <w:p>
      <w:pPr>
        <w:pStyle w:val="Heading2"/>
      </w:pPr>
      <w:r>
        <w:t>12.2 Beperkt analytische cookies</w:t>
      </w:r>
    </w:p>
    <w:p>
      <w:pPr/>
      <w:r>
        <w:t>Privacyvriendelijk ingestelde analytische cookies kunnen worden gebruikt om te begrijpen hoe de website wordt gebruikt en om prestaties te verbeteren. Alleen wanneer deze cookies geen of slechts geringe gevolgen voor de privacy hebben en aan de wettelijke voorwaarden voldoen, worden zij zonder voorafgaande toestemming geplaatst. Zodra de verwerking verder gaat, wordt toestemming gevraagd.</w:t>
      </w:r>
    </w:p>
    <w:p>
      <w:pPr>
        <w:pStyle w:val="Heading2"/>
      </w:pPr>
      <w:r>
        <w:t>12.3 Tracking-, marketing- en overige niet-noodzakelijke cookies</w:t>
      </w:r>
    </w:p>
    <w:p>
      <w:pPr/>
      <w:r>
        <w:t>Cookies of vergelijkbare technieken die bezoekers volgen, profielen opbouwen, advertenties personaliseren of anderszins niet noodzakelijk zijn, worden pas geplaatst of uitgelezen nadat de bezoeker vooraf vrij, specifiek, geïnformeerd en ondubbelzinnig toestemming heeft gegeven. Weigeren moet net zo reëel mogelijk zijn als accepteren en vooraf aangevinkte keuzes worden niet gebruikt.</w:t>
      </w:r>
    </w:p>
    <w:p>
      <w:pPr>
        <w:pStyle w:val="Heading2"/>
      </w:pPr>
      <w:r>
        <w:t>12.4 Externe content en Google Maps</w:t>
      </w:r>
    </w:p>
    <w:p>
      <w:pPr/>
      <w:r>
        <w:t>Wanneer BD-Allround Google Maps of vergelijkbare externe content op de website gebruikt, kan de externe aanbieder gegevens zoals het IP-adres en technische informatie verwerken en cookies plaatsen. Google Maps wordt alleen geladen nadat daarvoor toestemming is verkregen wanneer die toestemming wettelijk vereist is. Google Ireland Limited kan in dat geval persoonsgegevens verwerken volgens haar eigen privacyvoorwaarden.</w:t>
      </w:r>
    </w:p>
    <w:p>
      <w:pPr>
        <w:pStyle w:val="Heading2"/>
      </w:pPr>
      <w:r>
        <w:t>12.5 Cookiecategorieën</w:t>
      </w:r>
    </w:p>
    <w:tbl>
      <w:tblPr>
        <w:tblStyle w:val="TableGrid"/>
        <w:tblW w:type="auto" w:w="0"/>
        <w:jc w:val="center"/>
        <w:tblLayout w:type="fixed"/>
        <w:tblLook w:firstColumn="1" w:firstRow="1" w:lastColumn="0" w:lastRow="0" w:noHBand="0" w:noVBand="1" w:val="04A0"/>
      </w:tblPr>
      <w:tblGrid>
        <w:gridCol w:w="2550"/>
        <w:gridCol w:w="2550"/>
        <w:gridCol w:w="2550"/>
        <w:gridCol w:w="2550"/>
      </w:tblGrid>
      <w:tr>
        <w:trPr>
          <w:tblHeader w:val="true"/>
        </w:trPr>
        <w:tc>
          <w:tcPr>
            <w:tcW w:type="dxa" w:w="2550"/>
            <w:shd w:fill="244854"/>
            <w:tcMar>
              <w:top w:w="90" w:type="dxa"/>
              <w:start w:w="110" w:type="dxa"/>
              <w:bottom w:w="90" w:type="dxa"/>
              <w:end w:w="110" w:type="dxa"/>
            </w:tcMar>
          </w:tcPr>
          <w:p>
            <w:r>
              <w:rPr>
                <w:b/>
                <w:color w:val="FFFFFF"/>
              </w:rPr>
              <w:t>Categorie</w:t>
            </w:r>
          </w:p>
        </w:tc>
        <w:tc>
          <w:tcPr>
            <w:tcW w:type="dxa" w:w="2550"/>
            <w:shd w:fill="244854"/>
            <w:tcMar>
              <w:top w:w="90" w:type="dxa"/>
              <w:start w:w="110" w:type="dxa"/>
              <w:bottom w:w="90" w:type="dxa"/>
              <w:end w:w="110" w:type="dxa"/>
            </w:tcMar>
          </w:tcPr>
          <w:p>
            <w:r>
              <w:rPr>
                <w:b/>
                <w:color w:val="FFFFFF"/>
              </w:rPr>
              <w:t>Doel</w:t>
            </w:r>
          </w:p>
        </w:tc>
        <w:tc>
          <w:tcPr>
            <w:tcW w:type="dxa" w:w="2550"/>
            <w:shd w:fill="244854"/>
            <w:tcMar>
              <w:top w:w="90" w:type="dxa"/>
              <w:start w:w="110" w:type="dxa"/>
              <w:bottom w:w="90" w:type="dxa"/>
              <w:end w:w="110" w:type="dxa"/>
            </w:tcMar>
          </w:tcPr>
          <w:p>
            <w:r>
              <w:rPr>
                <w:b/>
                <w:color w:val="FFFFFF"/>
              </w:rPr>
              <w:t>Toestemming</w:t>
            </w:r>
          </w:p>
        </w:tc>
        <w:tc>
          <w:tcPr>
            <w:tcW w:type="dxa" w:w="2550"/>
            <w:shd w:fill="244854"/>
            <w:tcMar>
              <w:top w:w="90" w:type="dxa"/>
              <w:start w:w="110" w:type="dxa"/>
              <w:bottom w:w="90" w:type="dxa"/>
              <w:end w:w="110" w:type="dxa"/>
            </w:tcMar>
          </w:tcPr>
          <w:p>
            <w:r>
              <w:rPr>
                <w:b/>
                <w:color w:val="FFFFFF"/>
              </w:rPr>
              <w:t>Bewaartermijn</w:t>
            </w:r>
          </w:p>
        </w:tc>
      </w:tr>
      <w:tr>
        <w:tc>
          <w:tcPr>
            <w:tcW w:type="dxa" w:w="2550"/>
            <w:tcMar>
              <w:top w:w="90" w:type="dxa"/>
              <w:start w:w="110" w:type="dxa"/>
              <w:bottom w:w="90" w:type="dxa"/>
              <w:end w:w="110" w:type="dxa"/>
            </w:tcMar>
          </w:tcPr>
          <w:p>
            <w:r>
              <w:t>Noodzakelijk/functioneel</w:t>
            </w:r>
          </w:p>
        </w:tc>
        <w:tc>
          <w:tcPr>
            <w:tcW w:type="dxa" w:w="2550"/>
            <w:tcMar>
              <w:top w:w="90" w:type="dxa"/>
              <w:start w:w="110" w:type="dxa"/>
              <w:bottom w:w="90" w:type="dxa"/>
              <w:end w:w="110" w:type="dxa"/>
            </w:tcMar>
          </w:tcPr>
          <w:p>
            <w:r>
              <w:t>Technische werking, beveiliging, formulieren en onthouden cookievoorkeur</w:t>
            </w:r>
          </w:p>
        </w:tc>
        <w:tc>
          <w:tcPr>
            <w:tcW w:type="dxa" w:w="2550"/>
            <w:tcMar>
              <w:top w:w="90" w:type="dxa"/>
              <w:start w:w="110" w:type="dxa"/>
              <w:bottom w:w="90" w:type="dxa"/>
              <w:end w:w="110" w:type="dxa"/>
            </w:tcMar>
          </w:tcPr>
          <w:p>
            <w:r>
              <w:t>Niet vereist indien strikt noodzakelijk</w:t>
            </w:r>
          </w:p>
        </w:tc>
        <w:tc>
          <w:tcPr>
            <w:tcW w:type="dxa" w:w="2550"/>
            <w:tcMar>
              <w:top w:w="90" w:type="dxa"/>
              <w:start w:w="110" w:type="dxa"/>
              <w:bottom w:w="90" w:type="dxa"/>
              <w:end w:w="110" w:type="dxa"/>
            </w:tcMar>
          </w:tcPr>
          <w:p>
            <w:r>
              <w:t>Sessie of zolang noodzakelijk; afhankelijk van component</w:t>
            </w:r>
          </w:p>
        </w:tc>
      </w:tr>
      <w:tr>
        <w:tc>
          <w:tcPr>
            <w:tcW w:type="dxa" w:w="2550"/>
            <w:tcMar>
              <w:top w:w="90" w:type="dxa"/>
              <w:start w:w="110" w:type="dxa"/>
              <w:bottom w:w="90" w:type="dxa"/>
              <w:end w:w="110" w:type="dxa"/>
            </w:tcMar>
          </w:tcPr>
          <w:p>
            <w:r>
              <w:t>Beperkt analytisch</w:t>
            </w:r>
          </w:p>
        </w:tc>
        <w:tc>
          <w:tcPr>
            <w:tcW w:type="dxa" w:w="2550"/>
            <w:tcMar>
              <w:top w:w="90" w:type="dxa"/>
              <w:start w:w="110" w:type="dxa"/>
              <w:bottom w:w="90" w:type="dxa"/>
              <w:end w:w="110" w:type="dxa"/>
            </w:tcMar>
          </w:tcPr>
          <w:p>
            <w:r>
              <w:t>Geaggregeerde statistiek en websiteverbetering met geringe privacy-impact</w:t>
            </w:r>
          </w:p>
        </w:tc>
        <w:tc>
          <w:tcPr>
            <w:tcW w:type="dxa" w:w="2550"/>
            <w:tcMar>
              <w:top w:w="90" w:type="dxa"/>
              <w:start w:w="110" w:type="dxa"/>
              <w:bottom w:w="90" w:type="dxa"/>
              <w:end w:w="110" w:type="dxa"/>
            </w:tcMar>
          </w:tcPr>
          <w:p>
            <w:r>
              <w:t>Niet vereist indien aan wettelijke voorwaarden voldaan</w:t>
            </w:r>
          </w:p>
        </w:tc>
        <w:tc>
          <w:tcPr>
            <w:tcW w:type="dxa" w:w="2550"/>
            <w:tcMar>
              <w:top w:w="90" w:type="dxa"/>
              <w:start w:w="110" w:type="dxa"/>
              <w:bottom w:w="90" w:type="dxa"/>
              <w:end w:w="110" w:type="dxa"/>
            </w:tcMar>
          </w:tcPr>
          <w:p>
            <w:r>
              <w:t>Afhankelijk van gebruikte analysetool</w:t>
            </w:r>
          </w:p>
        </w:tc>
      </w:tr>
      <w:tr>
        <w:tc>
          <w:tcPr>
            <w:tcW w:type="dxa" w:w="2550"/>
            <w:tcMar>
              <w:top w:w="90" w:type="dxa"/>
              <w:start w:w="110" w:type="dxa"/>
              <w:bottom w:w="90" w:type="dxa"/>
              <w:end w:w="110" w:type="dxa"/>
            </w:tcMar>
          </w:tcPr>
          <w:p>
            <w:r>
              <w:t>Google Maps / externe content</w:t>
            </w:r>
          </w:p>
        </w:tc>
        <w:tc>
          <w:tcPr>
            <w:tcW w:type="dxa" w:w="2550"/>
            <w:tcMar>
              <w:top w:w="90" w:type="dxa"/>
              <w:start w:w="110" w:type="dxa"/>
              <w:bottom w:w="90" w:type="dxa"/>
              <w:end w:w="110" w:type="dxa"/>
            </w:tcMar>
          </w:tcPr>
          <w:p>
            <w:r>
              <w:t>Kaarten of externe content tonen; provider kan IP-/apparaatgegevens verwerken</w:t>
            </w:r>
          </w:p>
        </w:tc>
        <w:tc>
          <w:tcPr>
            <w:tcW w:type="dxa" w:w="2550"/>
            <w:tcMar>
              <w:top w:w="90" w:type="dxa"/>
              <w:start w:w="110" w:type="dxa"/>
              <w:bottom w:w="90" w:type="dxa"/>
              <w:end w:w="110" w:type="dxa"/>
            </w:tcMar>
          </w:tcPr>
          <w:p>
            <w:r>
              <w:t>Ja, indien niet strikt noodzakelijk en cookies/gegevensverwerking plaatsvinden</w:t>
            </w:r>
          </w:p>
        </w:tc>
        <w:tc>
          <w:tcPr>
            <w:tcW w:type="dxa" w:w="2550"/>
            <w:tcMar>
              <w:top w:w="90" w:type="dxa"/>
              <w:start w:w="110" w:type="dxa"/>
              <w:bottom w:w="90" w:type="dxa"/>
              <w:end w:w="110" w:type="dxa"/>
            </w:tcMar>
          </w:tcPr>
          <w:p>
            <w:r>
              <w:t>Volgens aanbieder en ingestelde consentvoorkeur</w:t>
            </w:r>
          </w:p>
        </w:tc>
      </w:tr>
      <w:tr>
        <w:tc>
          <w:tcPr>
            <w:tcW w:type="dxa" w:w="2550"/>
            <w:tcMar>
              <w:top w:w="90" w:type="dxa"/>
              <w:start w:w="110" w:type="dxa"/>
              <w:bottom w:w="90" w:type="dxa"/>
              <w:end w:w="110" w:type="dxa"/>
            </w:tcMar>
          </w:tcPr>
          <w:p>
            <w:r>
              <w:t>Marketing/tracking</w:t>
            </w:r>
          </w:p>
        </w:tc>
        <w:tc>
          <w:tcPr>
            <w:tcW w:type="dxa" w:w="2550"/>
            <w:tcMar>
              <w:top w:w="90" w:type="dxa"/>
              <w:start w:w="110" w:type="dxa"/>
              <w:bottom w:w="90" w:type="dxa"/>
              <w:end w:w="110" w:type="dxa"/>
            </w:tcMar>
          </w:tcPr>
          <w:p>
            <w:r>
              <w:t>Volgen, profielen, conversiemeting of gepersonaliseerde advertenties indien deze technieken op de website worden geactiveerd</w:t>
            </w:r>
          </w:p>
        </w:tc>
        <w:tc>
          <w:tcPr>
            <w:tcW w:type="dxa" w:w="2550"/>
            <w:tcMar>
              <w:top w:w="90" w:type="dxa"/>
              <w:start w:w="110" w:type="dxa"/>
              <w:bottom w:w="90" w:type="dxa"/>
              <w:end w:w="110" w:type="dxa"/>
            </w:tcMar>
          </w:tcPr>
          <w:p>
            <w:r>
              <w:t>Ja, vooraf</w:t>
            </w:r>
          </w:p>
        </w:tc>
        <w:tc>
          <w:tcPr>
            <w:tcW w:type="dxa" w:w="2550"/>
            <w:tcMar>
              <w:top w:w="90" w:type="dxa"/>
              <w:start w:w="110" w:type="dxa"/>
              <w:bottom w:w="90" w:type="dxa"/>
              <w:end w:w="110" w:type="dxa"/>
            </w:tcMar>
          </w:tcPr>
          <w:p>
            <w:r>
              <w:t>Volgens aanbieder; actuele duur via cookie-instellingen</w:t>
            </w:r>
          </w:p>
        </w:tc>
      </w:tr>
    </w:tbl>
    <w:p>
      <w:pPr>
        <w:pStyle w:val="Heading2"/>
      </w:pPr>
      <w:r>
        <w:t>12.6 Cookievoorkeur wijzigen of intrekken</w:t>
      </w:r>
    </w:p>
    <w:p>
      <w:pPr/>
      <w:r>
        <w:t>Een bezoeker moet een gegeven toestemming eenvoudig kunnen intrekken of aanpassen via de cookie-instellingen op de website. Daarnaast kunnen cookies via de browser worden verwijderd of geblokkeerd. Het blokkeren van noodzakelijke cookies kan ertoe leiden dat onderdelen van de website niet goed functioneren.</w:t>
      </w:r>
    </w:p>
    <w:p>
      <w:pPr>
        <w:pStyle w:val="Heading2"/>
      </w:pPr>
      <w:r>
        <w:t>12.7 Actuele cookielijst</w:t>
      </w:r>
    </w:p>
    <w:p>
      <w:pPr/>
      <w:r>
        <w:t>De exacte technische cookienamen, providers en looptijden kunnen wijzigen wanneer de website of gebruikte diensten worden bijgewerkt. Voor niet-noodzakelijke cookies behoort de actuele cookielijst in de cookiebanner of cookie-instellingen van de website te worden getoond voordat toestemming wordt gegeven. BD-Allround gebruikt geen nieuwe tracking- of marketingdienst zonder de cookiebanner en dit statement waar nodig daarop aan te passen.</w:t>
      </w:r>
    </w:p>
    <w:p>
      <w:pPr>
        <w:pStyle w:val="Heading1"/>
        <w:pBdr>
          <w:bottom w:val="single" w:sz="6" w:space="1" w:color="D7E0E2"/>
        </w:pBdr>
      </w:pPr>
      <w:r>
        <w:t>13. E-mail en directe marketing</w:t>
      </w:r>
    </w:p>
    <w:p>
      <w:pPr/>
      <w:r>
        <w:t>BD-Allround kan klanten serviceberichten sturen die noodzakelijk zijn voor een aanvraag of overeenkomst. Commerciële e-mail wordt alleen verzonden binnen de grenzen van de toepasselijke regels. Wanneer toestemming de grondslag is, kan deze eenvoudig worden ingetrokken. Bij direct marketing op basis van een gerechtvaardigd belang kan altijd bezwaar worden gemaakt.</w:t>
      </w:r>
    </w:p>
    <w:p>
      <w:pPr>
        <w:pStyle w:val="Heading1"/>
        <w:pBdr>
          <w:bottom w:val="single" w:sz="6" w:space="1" w:color="D7E0E2"/>
        </w:pBdr>
      </w:pPr>
      <w:r>
        <w:t>14. Projectfoto’s en sociale media</w:t>
      </w:r>
    </w:p>
    <w:p>
      <w:pPr/>
      <w:r>
        <w:t>Voor projectdocumentatie kan BD-Allround foto’s maken die noodzakelijk zijn voor uitvoering, technische vastlegging, oplevering of service. Publicatie voor portfolio, website of sociale media vindt alleen plaats wanneer daarvoor een passende grondslag bestaat. Herkenbare personen worden niet voor promotionele doeleinden gepubliceerd zonder geldige toestemming of een andere duidelijke wettelijke grondslag. Adresgegevens, kentekens en andere onnodige identificerende informatie worden zoveel mogelijk buiten beeld gehouden of verwijderd.</w:t>
      </w:r>
    </w:p>
    <w:p>
      <w:pPr>
        <w:pStyle w:val="Heading1"/>
        <w:pBdr>
          <w:bottom w:val="single" w:sz="6" w:space="1" w:color="D7E0E2"/>
        </w:pBdr>
      </w:pPr>
      <w:r>
        <w:t>15. Minderjarigen</w:t>
      </w:r>
    </w:p>
    <w:p>
      <w:pPr/>
      <w:r>
        <w:t>De website en diensten van BD-Allround zijn niet gericht op het verzamelen van persoonsgegevens van kinderen. Indien BD-Allround ontdekt dat zonder geldige grondslag persoonsgegevens van een minderjarige zijn verzameld, worden passende maatregelen genomen om die gegevens te verwijderen of de verwerking te beperken.</w:t>
      </w:r>
    </w:p>
    <w:p>
      <w:pPr>
        <w:pStyle w:val="Heading1"/>
        <w:pBdr>
          <w:bottom w:val="single" w:sz="6" w:space="1" w:color="D7E0E2"/>
        </w:pBdr>
      </w:pPr>
      <w:r>
        <w:t>16. Wijzigingen</w:t>
      </w:r>
    </w:p>
    <w:p>
      <w:pPr/>
      <w:r>
        <w:t>BD-Allround kan dit Privacy- &amp; Cookiestatement aanpassen wanneer de website, dienstverlening of wetgeving verandert. De meest recente versie wordt op www.bd-allround.nl gepubliceerd. Bij ingrijpende wijzigingen wordt, waar passend, aanvullende informatie verstrekt of opnieuw toestemming gevraagd.</w:t>
      </w:r>
    </w:p>
    <w:p>
      <w:pPr/>
      <w:r>
        <w:rPr>
          <w:b/>
        </w:rPr>
        <w:t>Laatst bijgewerkt:</w:t>
      </w:r>
      <w:r>
        <w:t xml:space="preserve"> 7 oktober 2026.</w:t>
      </w:r>
    </w:p>
    <w:p>
      <w:pPr>
        <w:pStyle w:val="Heading1"/>
        <w:pBdr>
          <w:bottom w:val="single" w:sz="6" w:space="1" w:color="D7E0E2"/>
        </w:pBdr>
      </w:pPr>
      <w:r>
        <w:t>17. Contact</w:t>
      </w:r>
    </w:p>
    <w:p>
      <w:pPr/>
      <w:r>
        <w:t>Voor vragen over dit statement, privacyrechten of de verwerking van persoonsgegevens:</w:t>
      </w:r>
    </w:p>
    <w:p>
      <w:pPr>
        <w:pStyle w:val="LegalBullet"/>
      </w:pPr>
      <w:r>
        <w:rPr>
          <w:color w:val="244854"/>
        </w:rPr>
        <w:t xml:space="preserve">• </w:t>
      </w:r>
      <w:r>
        <w:t>BD-Allround, Soest, Utrecht, Nederland</w:t>
      </w:r>
    </w:p>
    <w:p>
      <w:pPr>
        <w:pStyle w:val="LegalBullet"/>
      </w:pPr>
      <w:r>
        <w:rPr>
          <w:color w:val="244854"/>
        </w:rPr>
        <w:t xml:space="preserve">• </w:t>
      </w:r>
      <w:r>
        <w:t>E-mail: info@bd-allround.nl</w:t>
      </w:r>
    </w:p>
    <w:p>
      <w:pPr>
        <w:pStyle w:val="LegalBullet"/>
      </w:pPr>
      <w:r>
        <w:rPr>
          <w:color w:val="244854"/>
        </w:rPr>
        <w:t xml:space="preserve">• </w:t>
      </w:r>
      <w:r>
        <w:t>Telefoon: +31 6 48936802</w:t>
      </w:r>
    </w:p>
    <w:p>
      <w:pPr>
        <w:pStyle w:val="LegalBullet"/>
      </w:pPr>
      <w:r>
        <w:rPr>
          <w:color w:val="244854"/>
        </w:rPr>
        <w:t xml:space="preserve">• </w:t>
      </w:r>
      <w:r>
        <w:t>Website: www.bd-allround.nl</w:t>
      </w:r>
    </w:p>
    <w:sectPr w:rsidR="00FC693F" w:rsidRPr="0006063C" w:rsidSect="00034616">
      <w:headerReference w:type="default" r:id="rId9"/>
      <w:footerReference w:type="default" r:id="rId10"/>
      <w:pgSz w:w="12240" w:h="15840"/>
      <w:pgMar w:top="935" w:right="1020" w:bottom="907" w:left="1020"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5E5E5E"/>
        <w:sz w:val="16"/>
      </w:rPr>
      <w:t xml:space="preserve">BD-Allround  |  Privacy &amp; Cookies  |  versie 7 oktober 2026   </w:t>
    </w:r>
    <w:r>
      <w:rPr>
        <w:color w:val="5E5E5E"/>
        <w:sz w:val="16"/>
      </w:rPr>
      <w:t xml:space="preserve">Pagina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10" w:space="1" w:color="244854"/>
      </w:pBdr>
    </w:pPr>
    <w:r>
      <w:rPr>
        <w:rFonts w:ascii="Arial" w:hAnsi="Arial"/>
        <w:b/>
        <w:color w:val="244854"/>
        <w:sz w:val="16"/>
      </w:rPr>
      <w:t>BD-ALLROUND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9" w:lineRule="auto"/>
    </w:pPr>
    <w:rPr>
      <w:rFonts w:ascii="Arial" w:hAnsi="Arial"/>
      <w:color w:val="20202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rial" w:hAnsi="Arial"/>
      <w:b/>
      <w:bCs/>
      <w:color w:val="202020"/>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244854"/>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2020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0202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rial" w:hAnsi="Arial"/>
      <w:color w:val="5E5E5E"/>
      <w:sz w:val="16"/>
    </w:rPr>
  </w:style>
  <w:style w:type="paragraph" w:customStyle="1" w:styleId="LegalBullet">
    <w:name w:val="Legal Bullet"/>
    <w:pPr>
      <w:spacing w:after="50"/>
      <w:ind w:left="255" w:hanging="142"/>
    </w:pPr>
    <w:rPr>
      <w:rFonts w:ascii="Arial" w:hAnsi="Arial"/>
      <w:sz w:val="18"/>
    </w:rPr>
  </w:style>
  <w:style w:type="paragraph" w:customStyle="1" w:styleId="Article">
    <w:name w:val="Article"/>
    <w:pPr>
      <w:spacing w:after="80"/>
      <w:ind w:left="227" w:hanging="227"/>
    </w:pPr>
    <w:rPr>
      <w:rFonts w:ascii="Arial" w:hAnsi="Arial"/>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